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000000"/>
          <w:sz w:val="32"/>
          <w:szCs w:val="32"/>
        </w:rPr>
      </w:pPr>
      <w:bookmarkStart w:id="0" w:name="_GoBack"/>
      <w:bookmarkEnd w:id="0"/>
      <w:r>
        <w:rPr>
          <w:rFonts w:hint="eastAsia"/>
          <w:b/>
          <w:color w:val="000000"/>
          <w:sz w:val="32"/>
          <w:szCs w:val="32"/>
        </w:rPr>
        <w:t>人文与法学学院促进大学生创新创业工作实施办法</w:t>
      </w:r>
    </w:p>
    <w:p>
      <w:pPr>
        <w:jc w:val="center"/>
        <w:rPr>
          <w:b/>
          <w:color w:val="000000"/>
          <w:sz w:val="32"/>
          <w:szCs w:val="32"/>
        </w:rPr>
      </w:pPr>
      <w:r>
        <w:rPr>
          <w:rFonts w:hint="eastAsia"/>
          <w:b/>
          <w:color w:val="000000"/>
          <w:sz w:val="32"/>
          <w:szCs w:val="32"/>
        </w:rPr>
        <w:t>（试行）</w:t>
      </w:r>
    </w:p>
    <w:p>
      <w:pPr>
        <w:spacing w:line="360" w:lineRule="auto"/>
        <w:rPr>
          <w:rFonts w:ascii="仿宋_GB2312" w:eastAsia="仿宋_GB2312" w:hAnsiTheme="minorEastAsia"/>
          <w:sz w:val="24"/>
          <w:szCs w:val="24"/>
        </w:rPr>
      </w:pPr>
      <w:r>
        <w:rPr>
          <w:rFonts w:hint="eastAsia" w:ascii="仿宋_GB2312" w:eastAsia="仿宋_GB2312" w:hAnsiTheme="minorEastAsia"/>
          <w:sz w:val="24"/>
          <w:szCs w:val="24"/>
        </w:rPr>
        <w:t>各系、学工办、学生班：</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为进一步加强学院创新创业工作，推动创新创业教育规范化常态化，提升学院人才培养质量，从而促进高水平大学建设。根据《国务院关于进一步做好新形势下就业创业工作的意见》（国发〔2015〕23号）、《国务院办公厅关于深化高等学校创新创业教育改革的实施意见》（国办发〔2015〕36号）、《教育部关于大力推进高等学校创新创业教育和大学生自主创业工作的意见》（教办〔2010〕3号）、《广东省人民政府关于进一步促进创业带动就业的意见》（粤府〔2015〕28号）、《广东省教育厅关于深化高等学校创新创业教育改革的若干意见》（粤教高〔2015〕16号）、《华南农业大学关于进一步推动大学生创新创业工作的实施意见》等文件要求，结合学院实际，提出如下实施意见：</w:t>
      </w:r>
    </w:p>
    <w:p>
      <w:pPr>
        <w:spacing w:line="360" w:lineRule="auto"/>
        <w:ind w:firstLine="482" w:firstLineChars="200"/>
        <w:rPr>
          <w:rFonts w:ascii="仿宋_GB2312" w:eastAsia="仿宋_GB2312" w:hAnsiTheme="minorEastAsia"/>
          <w:b/>
          <w:sz w:val="24"/>
          <w:szCs w:val="24"/>
        </w:rPr>
      </w:pPr>
      <w:r>
        <w:rPr>
          <w:rFonts w:hint="eastAsia" w:ascii="仿宋_GB2312" w:eastAsia="仿宋_GB2312" w:hAnsiTheme="minorEastAsia"/>
          <w:b/>
          <w:sz w:val="24"/>
          <w:szCs w:val="24"/>
        </w:rPr>
        <w:t>一、构建常态化创新创业教育机制</w:t>
      </w:r>
    </w:p>
    <w:p>
      <w:pPr>
        <w:spacing w:line="360" w:lineRule="auto"/>
        <w:ind w:firstLine="480" w:firstLineChars="200"/>
        <w:rPr>
          <w:rFonts w:ascii="仿宋_GB2312" w:eastAsia="仿宋_GB2312" w:hAnsiTheme="minorEastAsia"/>
          <w:color w:val="000000" w:themeColor="text1"/>
          <w:sz w:val="24"/>
          <w:szCs w:val="24"/>
        </w:rPr>
      </w:pPr>
      <w:r>
        <w:rPr>
          <w:rFonts w:hint="eastAsia" w:ascii="仿宋_GB2312" w:eastAsia="仿宋_GB2312" w:hAnsiTheme="minorEastAsia"/>
          <w:color w:val="000000" w:themeColor="text1"/>
          <w:sz w:val="24"/>
          <w:szCs w:val="24"/>
        </w:rPr>
        <w:t>（一）定期开展创新创业文化沙龙。定期邀请校院负责创新创业指导的教师、校友、企业管理人员等相关导师面向学生开展创新创业类沙龙或讲座，次数不低于5次/年；</w:t>
      </w:r>
    </w:p>
    <w:p>
      <w:pPr>
        <w:spacing w:line="360" w:lineRule="auto"/>
        <w:ind w:firstLine="480" w:firstLineChars="200"/>
        <w:rPr>
          <w:rFonts w:ascii="仿宋_GB2312" w:eastAsia="仿宋_GB2312" w:hAnsiTheme="minorEastAsia"/>
          <w:color w:val="000000" w:themeColor="text1"/>
          <w:kern w:val="0"/>
          <w:sz w:val="24"/>
          <w:szCs w:val="24"/>
        </w:rPr>
      </w:pPr>
      <w:r>
        <w:rPr>
          <w:rFonts w:hint="eastAsia" w:ascii="仿宋_GB2312" w:eastAsia="仿宋_GB2312" w:hAnsiTheme="minorEastAsia"/>
          <w:color w:val="000000" w:themeColor="text1"/>
          <w:sz w:val="24"/>
          <w:szCs w:val="24"/>
        </w:rPr>
        <w:t>（二）加强大学生创新创业训练计划项目工作力度，切实做好学生的动员、培训及项目的培育、打磨、申报、审核、管理等工作，促进项目质量的提升。项目包括</w:t>
      </w:r>
      <w:r>
        <w:rPr>
          <w:rFonts w:hint="eastAsia" w:ascii="仿宋_GB2312" w:eastAsia="仿宋_GB2312" w:hAnsiTheme="minorEastAsia"/>
          <w:color w:val="000000" w:themeColor="text1"/>
          <w:kern w:val="0"/>
          <w:sz w:val="24"/>
          <w:szCs w:val="24"/>
        </w:rPr>
        <w:t>创新训练项目、创业训练项目和创业实践项目三类。</w:t>
      </w:r>
      <w:r>
        <w:rPr>
          <w:rFonts w:hint="eastAsia" w:ascii="仿宋_GB2312" w:eastAsia="仿宋_GB2312" w:hAnsiTheme="minorEastAsia"/>
          <w:color w:val="000000" w:themeColor="text1"/>
          <w:sz w:val="24"/>
          <w:szCs w:val="24"/>
        </w:rPr>
        <w:t>学院根据学校相关工作要求，组成专家评审小组，对学生的创业项目进行审核，并评定项目级别（各级别资助金额由学校统一配给），国家级、省级、校级</w:t>
      </w:r>
      <w:r>
        <w:rPr>
          <w:rFonts w:hint="eastAsia" w:ascii="仿宋_GB2312" w:eastAsia="仿宋_GB2312" w:hAnsiTheme="minorEastAsia"/>
          <w:color w:val="000000" w:themeColor="text1"/>
          <w:kern w:val="0"/>
          <w:sz w:val="24"/>
          <w:szCs w:val="24"/>
        </w:rPr>
        <w:t>项目执行时间参照当年学校大学生创新创业训练计划项目相关规定执行，主要面向大一至大三年级本科在校学生。</w:t>
      </w:r>
      <w:r>
        <w:rPr>
          <w:rFonts w:hint="eastAsia" w:ascii="仿宋_GB2312" w:eastAsia="仿宋_GB2312" w:hAnsiTheme="minorEastAsia"/>
          <w:color w:val="000000" w:themeColor="text1"/>
          <w:sz w:val="24"/>
          <w:szCs w:val="24"/>
        </w:rPr>
        <w:t>项目组成员综合测评加分参照《华南农业大学本科生综合测评及评优实施办法》及《人文与法学学院本科生综合测评及评优实施办法》执行。</w:t>
      </w:r>
    </w:p>
    <w:p>
      <w:pPr>
        <w:spacing w:line="360" w:lineRule="auto"/>
        <w:ind w:firstLine="480" w:firstLineChars="200"/>
        <w:rPr>
          <w:rFonts w:ascii="仿宋_GB2312" w:eastAsia="仿宋_GB2312" w:hAnsiTheme="minorEastAsia"/>
          <w:color w:val="000000" w:themeColor="text1"/>
          <w:sz w:val="24"/>
          <w:szCs w:val="24"/>
        </w:rPr>
      </w:pPr>
      <w:r>
        <w:rPr>
          <w:rFonts w:hint="eastAsia" w:ascii="仿宋_GB2312" w:eastAsia="仿宋_GB2312" w:hAnsiTheme="minorEastAsia"/>
          <w:color w:val="000000" w:themeColor="text1"/>
          <w:sz w:val="24"/>
          <w:szCs w:val="24"/>
        </w:rPr>
        <w:t>（三）</w:t>
      </w:r>
      <w:r>
        <w:rPr>
          <w:rFonts w:hint="eastAsia" w:ascii="仿宋_GB2312" w:eastAsia="仿宋_GB2312" w:hAnsiTheme="minorEastAsia"/>
          <w:sz w:val="24"/>
          <w:szCs w:val="24"/>
        </w:rPr>
        <w:t>设立院级创新创业训练计划项目，加大大学生创新创业训练计划项目培育力度。在国家级项目、省级项目、校级项目的基础上设立院级项目，按照报名队伍情况，在未成为国家级、省级、校级项目立项的项目中遴选一批项目定为院级项目，学院为每个按时结题的项目配备1000元的项目资助金，其中创业实践项目资助3000元，项目执行时间为1年。参加院级创新创业训练计划项目的</w:t>
      </w:r>
      <w:r>
        <w:rPr>
          <w:rFonts w:hint="eastAsia" w:ascii="仿宋_GB2312" w:eastAsia="仿宋_GB2312" w:hAnsiTheme="minorEastAsia"/>
          <w:color w:val="000000" w:themeColor="text1"/>
          <w:sz w:val="24"/>
          <w:szCs w:val="24"/>
        </w:rPr>
        <w:t>成员给予综合测评智育加分，其中团队负责人加0.5分，其他团队成员加0.3分，项目成功立项即可加相应级别的一半分，成功结题再追加另一半分。</w:t>
      </w:r>
    </w:p>
    <w:p>
      <w:pPr>
        <w:spacing w:line="360" w:lineRule="auto"/>
        <w:ind w:firstLine="480" w:firstLineChars="200"/>
        <w:rPr>
          <w:rFonts w:ascii="仿宋_GB2312" w:eastAsia="仿宋_GB2312" w:hAnsiTheme="minorEastAsia"/>
          <w:color w:val="000000" w:themeColor="text1"/>
          <w:sz w:val="24"/>
          <w:szCs w:val="24"/>
        </w:rPr>
      </w:pPr>
      <w:r>
        <w:rPr>
          <w:rFonts w:hint="eastAsia" w:ascii="仿宋_GB2312" w:eastAsia="仿宋_GB2312" w:hAnsiTheme="minorEastAsia"/>
          <w:color w:val="000000" w:themeColor="text1"/>
          <w:sz w:val="24"/>
          <w:szCs w:val="24"/>
        </w:rPr>
        <w:t>（四）加强创新创业教育教师队伍建设。加大对创新创业教育教师的支持力度，对已结题的大学生创新创业训练项目的指导教师一次性计算教学工作量，其中国家级项目、省级项目、校级项目计算标准参照学校相关规定执行，院级项目记10个标准学时。国家级、省级、校级项目指导教师人数及要求参照学校相关规定执行。院级项目指导教师可为本院在职教职工，原则上每个项目指导教师不超过2人，创业实践项目按实际需要可增加1名校外导师。每个指导教师指导的项目原则上不超过2项，指导多项者以单一项目最高进行工作量核算，多项不累加。</w:t>
      </w:r>
    </w:p>
    <w:p>
      <w:pPr>
        <w:spacing w:line="360" w:lineRule="auto"/>
        <w:ind w:firstLine="480" w:firstLineChars="200"/>
        <w:rPr>
          <w:rFonts w:ascii="仿宋_GB2312" w:eastAsia="仿宋_GB2312" w:hAnsiTheme="minorEastAsia"/>
          <w:color w:val="000000" w:themeColor="text1"/>
          <w:sz w:val="24"/>
          <w:szCs w:val="24"/>
        </w:rPr>
      </w:pPr>
      <w:r>
        <w:rPr>
          <w:rFonts w:hint="eastAsia" w:ascii="仿宋_GB2312" w:eastAsia="仿宋_GB2312" w:hAnsiTheme="minorEastAsia"/>
          <w:color w:val="000000" w:themeColor="text1"/>
          <w:sz w:val="24"/>
          <w:szCs w:val="24"/>
        </w:rPr>
        <w:t>（五）成立创新创业项目专家评审小组，小组由9-13人组成，成员每年一聘，负责各级项目的申请、中期考核、结题等的评审工作。评审小组成员按10个标准学时计入当年工作量。</w:t>
      </w:r>
    </w:p>
    <w:p>
      <w:pPr>
        <w:spacing w:line="360" w:lineRule="auto"/>
        <w:ind w:firstLine="480" w:firstLineChars="200"/>
        <w:rPr>
          <w:rFonts w:ascii="仿宋_GB2312" w:eastAsia="仿宋_GB2312" w:hAnsiTheme="minorEastAsia"/>
          <w:color w:val="000000" w:themeColor="text1"/>
          <w:sz w:val="24"/>
          <w:szCs w:val="24"/>
        </w:rPr>
      </w:pPr>
      <w:r>
        <w:rPr>
          <w:rFonts w:hint="eastAsia" w:ascii="仿宋_GB2312" w:eastAsia="仿宋_GB2312" w:hAnsiTheme="minorEastAsia"/>
          <w:color w:val="000000" w:themeColor="text1"/>
          <w:sz w:val="24"/>
          <w:szCs w:val="24"/>
        </w:rPr>
        <w:t>（六）推荐有较强创业意向且具备一定创业能力的学生参加学校SYB创业培训班，并为获得SYB结业证的学生配备指导教师，指导创业。</w:t>
      </w:r>
    </w:p>
    <w:p>
      <w:pPr>
        <w:spacing w:line="360" w:lineRule="auto"/>
        <w:ind w:firstLine="480" w:firstLineChars="200"/>
        <w:rPr>
          <w:rFonts w:ascii="仿宋_GB2312" w:eastAsia="仿宋_GB2312" w:hAnsiTheme="minorEastAsia"/>
          <w:color w:val="000000" w:themeColor="text1"/>
          <w:sz w:val="24"/>
          <w:szCs w:val="24"/>
        </w:rPr>
      </w:pPr>
      <w:r>
        <w:rPr>
          <w:rFonts w:hint="eastAsia" w:ascii="仿宋_GB2312" w:eastAsia="仿宋_GB2312" w:hAnsiTheme="minorEastAsia"/>
          <w:color w:val="000000" w:themeColor="text1"/>
          <w:sz w:val="24"/>
          <w:szCs w:val="24"/>
        </w:rPr>
        <w:t>（七）严格把关创新创业课程的授课质量，将该课程作为学院领导听课项目范围。</w:t>
      </w:r>
    </w:p>
    <w:p>
      <w:pPr>
        <w:spacing w:line="360" w:lineRule="auto"/>
        <w:ind w:firstLine="480" w:firstLineChars="200"/>
        <w:rPr>
          <w:rFonts w:ascii="仿宋_GB2312" w:eastAsia="仿宋_GB2312" w:hAnsiTheme="minorEastAsia"/>
          <w:color w:val="000000" w:themeColor="text1"/>
          <w:sz w:val="24"/>
          <w:szCs w:val="24"/>
        </w:rPr>
      </w:pPr>
      <w:r>
        <w:rPr>
          <w:rFonts w:hint="eastAsia" w:ascii="仿宋_GB2312" w:eastAsia="仿宋_GB2312" w:hAnsiTheme="minorEastAsia"/>
          <w:color w:val="000000" w:themeColor="text1"/>
          <w:sz w:val="24"/>
          <w:szCs w:val="24"/>
        </w:rPr>
        <w:t>（八）组织开展院级创新创业类赛事。如创业计划书大赛、科技创新类比赛、学科竞技比赛等，给予重点培养优秀团队，配备指导老师为参赛学生必要的指导，通过比赛遴选出优秀团队推荐参加校级及以上赛事，全程有专人指导、专人跟进。</w:t>
      </w:r>
    </w:p>
    <w:p>
      <w:pPr>
        <w:spacing w:line="360" w:lineRule="auto"/>
        <w:ind w:firstLine="482" w:firstLineChars="200"/>
        <w:rPr>
          <w:rFonts w:ascii="仿宋_GB2312" w:eastAsia="仿宋_GB2312" w:hAnsiTheme="minorEastAsia"/>
          <w:b/>
          <w:color w:val="000000" w:themeColor="text1"/>
          <w:sz w:val="24"/>
          <w:szCs w:val="24"/>
        </w:rPr>
      </w:pPr>
      <w:r>
        <w:rPr>
          <w:rFonts w:hint="eastAsia" w:ascii="仿宋_GB2312" w:eastAsia="仿宋_GB2312" w:hAnsiTheme="minorEastAsia"/>
          <w:b/>
          <w:color w:val="000000" w:themeColor="text1"/>
          <w:sz w:val="24"/>
          <w:szCs w:val="24"/>
        </w:rPr>
        <w:t>二、搭建创新创业项目培育平台</w:t>
      </w:r>
    </w:p>
    <w:p>
      <w:pPr>
        <w:spacing w:line="360" w:lineRule="auto"/>
        <w:ind w:firstLine="480" w:firstLineChars="200"/>
        <w:rPr>
          <w:rFonts w:ascii="仿宋_GB2312" w:eastAsia="仿宋_GB2312" w:hAnsiTheme="minorEastAsia"/>
          <w:color w:val="000000" w:themeColor="text1"/>
          <w:sz w:val="24"/>
          <w:szCs w:val="24"/>
        </w:rPr>
      </w:pPr>
      <w:r>
        <w:rPr>
          <w:rFonts w:hint="eastAsia" w:ascii="仿宋_GB2312" w:eastAsia="仿宋_GB2312" w:hAnsiTheme="minorEastAsia"/>
          <w:color w:val="000000" w:themeColor="text1"/>
          <w:sz w:val="24"/>
          <w:szCs w:val="24"/>
        </w:rPr>
        <w:t>（一）建设启林北文创中心，搭建创新创业项目孵化及文化交流平台。在启林北宿舍区42栋架空层搭建“文创中心”创新创业项目孵化及文化交流平台，配备音响、投影等设备及办公桌椅、活动桌椅等硬件设施，可实现项目打磨、沙龙交流、团队建设等多项功能。在此平台的基础上，展出国家、广东省、学校、学院促进大学生创新创业的有关政策及大学生创业办事流程、大学生挑战杯项目展示、大学生创业实践等相关信息；开展各类创新创业文化交流活动，加强项目组成员、项目间成员、项目成员与指导老师、校友、普通学生之间的沟通联系，切实提升大学生创新创业训练项目质量，从而提升学院人才培养质量。</w:t>
      </w:r>
    </w:p>
    <w:p>
      <w:pPr>
        <w:spacing w:line="360" w:lineRule="auto"/>
        <w:ind w:firstLine="480" w:firstLineChars="200"/>
        <w:rPr>
          <w:rFonts w:ascii="仿宋_GB2312" w:eastAsia="仿宋_GB2312" w:hAnsiTheme="minorEastAsia"/>
          <w:color w:val="000000" w:themeColor="text1"/>
          <w:sz w:val="24"/>
          <w:szCs w:val="24"/>
        </w:rPr>
      </w:pPr>
      <w:r>
        <w:rPr>
          <w:rFonts w:hint="eastAsia" w:ascii="仿宋_GB2312" w:eastAsia="仿宋_GB2312" w:hAnsiTheme="minorEastAsia"/>
          <w:color w:val="000000" w:themeColor="text1"/>
          <w:sz w:val="24"/>
          <w:szCs w:val="24"/>
        </w:rPr>
        <w:t>（六）奖励在创新创业方面取得突出成效的老师和学生。在省级及以上级别的大学生创新创业大赛中，获奖团队</w:t>
      </w:r>
      <w:r>
        <w:rPr>
          <w:rFonts w:ascii="仿宋_GB2312" w:eastAsia="仿宋_GB2312" w:hAnsiTheme="minorEastAsia"/>
          <w:color w:val="000000" w:themeColor="text1"/>
          <w:sz w:val="24"/>
          <w:szCs w:val="24"/>
        </w:rPr>
        <w:t>的</w:t>
      </w:r>
      <w:r>
        <w:rPr>
          <w:rFonts w:hint="eastAsia" w:ascii="仿宋_GB2312" w:eastAsia="仿宋_GB2312" w:hAnsiTheme="minorEastAsia"/>
          <w:color w:val="000000" w:themeColor="text1"/>
          <w:sz w:val="24"/>
          <w:szCs w:val="24"/>
        </w:rPr>
        <w:t>指导老师</w:t>
      </w:r>
      <w:r>
        <w:rPr>
          <w:rFonts w:ascii="仿宋_GB2312" w:eastAsia="仿宋_GB2312" w:hAnsiTheme="minorEastAsia"/>
          <w:color w:val="000000" w:themeColor="text1"/>
          <w:sz w:val="24"/>
          <w:szCs w:val="24"/>
        </w:rPr>
        <w:t>和队伍</w:t>
      </w:r>
      <w:r>
        <w:rPr>
          <w:rFonts w:hint="eastAsia" w:ascii="仿宋_GB2312" w:eastAsia="仿宋_GB2312" w:hAnsiTheme="minorEastAsia"/>
          <w:color w:val="000000" w:themeColor="text1"/>
          <w:sz w:val="24"/>
          <w:szCs w:val="24"/>
        </w:rPr>
        <w:t>分别会</w:t>
      </w:r>
      <w:r>
        <w:rPr>
          <w:rFonts w:ascii="仿宋_GB2312" w:eastAsia="仿宋_GB2312" w:hAnsiTheme="minorEastAsia"/>
          <w:color w:val="000000" w:themeColor="text1"/>
          <w:sz w:val="24"/>
          <w:szCs w:val="24"/>
        </w:rPr>
        <w:t>获得一定金额的</w:t>
      </w:r>
      <w:r>
        <w:rPr>
          <w:rFonts w:hint="eastAsia" w:ascii="仿宋_GB2312" w:eastAsia="仿宋_GB2312" w:hAnsiTheme="minorEastAsia"/>
          <w:color w:val="000000" w:themeColor="text1"/>
          <w:sz w:val="24"/>
          <w:szCs w:val="24"/>
        </w:rPr>
        <w:t>奖励，在校、市、区级比赛中获奖的学生给予相应标准的综测加分奖励</w:t>
      </w:r>
      <w:r>
        <w:rPr>
          <w:rFonts w:ascii="仿宋_GB2312" w:eastAsia="仿宋_GB2312" w:hAnsiTheme="minorEastAsia"/>
          <w:color w:val="000000" w:themeColor="text1"/>
          <w:sz w:val="24"/>
          <w:szCs w:val="24"/>
        </w:rPr>
        <w:t>。</w:t>
      </w:r>
      <w:r>
        <w:rPr>
          <w:rFonts w:hint="eastAsia" w:ascii="仿宋_GB2312" w:eastAsia="仿宋_GB2312" w:hAnsiTheme="minorEastAsia"/>
          <w:color w:val="000000" w:themeColor="text1"/>
          <w:sz w:val="24"/>
          <w:szCs w:val="24"/>
        </w:rPr>
        <w:t>具体</w:t>
      </w:r>
      <w:r>
        <w:rPr>
          <w:rFonts w:ascii="仿宋_GB2312" w:eastAsia="仿宋_GB2312" w:hAnsiTheme="minorEastAsia"/>
          <w:color w:val="000000" w:themeColor="text1"/>
          <w:sz w:val="24"/>
          <w:szCs w:val="24"/>
        </w:rPr>
        <w:t>奖励</w:t>
      </w:r>
      <w:r>
        <w:rPr>
          <w:rFonts w:hint="eastAsia" w:ascii="仿宋_GB2312" w:eastAsia="仿宋_GB2312" w:hAnsiTheme="minorEastAsia"/>
          <w:color w:val="000000" w:themeColor="text1"/>
          <w:sz w:val="24"/>
          <w:szCs w:val="24"/>
        </w:rPr>
        <w:t>规则如下</w:t>
      </w:r>
      <w:r>
        <w:rPr>
          <w:rFonts w:ascii="仿宋_GB2312" w:eastAsia="仿宋_GB2312" w:hAnsiTheme="minorEastAsia"/>
          <w:color w:val="000000" w:themeColor="text1"/>
          <w:sz w:val="24"/>
          <w:szCs w:val="24"/>
        </w:rPr>
        <w:t>：</w:t>
      </w:r>
    </w:p>
    <w:tbl>
      <w:tblPr>
        <w:tblStyle w:val="6"/>
        <w:tblW w:w="0" w:type="auto"/>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autofit"/>
        <w:tblCellMar>
          <w:top w:w="0" w:type="dxa"/>
          <w:left w:w="0" w:type="dxa"/>
          <w:bottom w:w="0" w:type="dxa"/>
          <w:right w:w="0" w:type="dxa"/>
        </w:tblCellMar>
      </w:tblPr>
      <w:tblGrid>
        <w:gridCol w:w="1926"/>
        <w:gridCol w:w="703"/>
        <w:gridCol w:w="703"/>
        <w:gridCol w:w="703"/>
        <w:gridCol w:w="705"/>
        <w:gridCol w:w="3123"/>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1926" w:type="dxa"/>
            <w:vMerge w:val="restart"/>
            <w:tcBorders>
              <w:top w:val="single" w:color="000000" w:sz="8" w:space="0"/>
              <w:left w:val="single" w:color="000000" w:sz="8" w:space="0"/>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rFonts w:ascii="仿宋_GB2312" w:cs="仿宋_GB2312"/>
                <w:b/>
                <w:color w:val="000000" w:themeColor="text1"/>
                <w:kern w:val="0"/>
                <w:sz w:val="24"/>
                <w:szCs w:val="24"/>
              </w:rPr>
              <w:t>获奖等级</w:t>
            </w:r>
          </w:p>
        </w:tc>
        <w:tc>
          <w:tcPr>
            <w:tcW w:w="2814" w:type="dxa"/>
            <w:gridSpan w:val="4"/>
            <w:tcBorders>
              <w:top w:val="single" w:color="000000" w:sz="8" w:space="0"/>
              <w:left w:val="nil"/>
              <w:bottom w:val="single" w:color="000000" w:sz="8" w:space="0"/>
              <w:right w:val="single" w:color="000000" w:sz="8" w:space="0"/>
            </w:tcBorders>
            <w:tcMar>
              <w:left w:w="108" w:type="dxa"/>
              <w:right w:w="108" w:type="dxa"/>
            </w:tcMar>
            <w:vAlign w:val="center"/>
          </w:tcPr>
          <w:p>
            <w:pPr>
              <w:widowControl/>
              <w:spacing w:line="270" w:lineRule="atLeast"/>
              <w:jc w:val="center"/>
              <w:rPr>
                <w:rFonts w:ascii="仿宋_GB2312" w:cs="仿宋_GB2312"/>
                <w:b/>
                <w:color w:val="000000" w:themeColor="text1"/>
                <w:kern w:val="0"/>
                <w:sz w:val="24"/>
                <w:szCs w:val="24"/>
              </w:rPr>
            </w:pPr>
            <w:r>
              <w:rPr>
                <w:rFonts w:ascii="仿宋_GB2312" w:cs="仿宋_GB2312"/>
                <w:b/>
                <w:color w:val="000000" w:themeColor="text1"/>
                <w:kern w:val="0"/>
                <w:sz w:val="24"/>
                <w:szCs w:val="24"/>
              </w:rPr>
              <w:t>奖励额度（元）</w:t>
            </w:r>
          </w:p>
        </w:tc>
        <w:tc>
          <w:tcPr>
            <w:tcW w:w="3121" w:type="dxa"/>
            <w:tcBorders>
              <w:top w:val="single" w:color="000000" w:sz="8" w:space="0"/>
              <w:left w:val="nil"/>
              <w:bottom w:val="single" w:color="000000" w:sz="8" w:space="0"/>
              <w:right w:val="single" w:color="000000" w:sz="8" w:space="0"/>
            </w:tcBorders>
            <w:vAlign w:val="center"/>
          </w:tcPr>
          <w:p>
            <w:pPr>
              <w:widowControl/>
              <w:spacing w:line="270" w:lineRule="atLeast"/>
              <w:jc w:val="center"/>
              <w:rPr>
                <w:rFonts w:ascii="仿宋_GB2312" w:cs="仿宋_GB2312"/>
                <w:b/>
                <w:color w:val="000000" w:themeColor="text1"/>
                <w:kern w:val="0"/>
                <w:sz w:val="24"/>
                <w:szCs w:val="24"/>
              </w:rPr>
            </w:pPr>
            <w:r>
              <w:rPr>
                <w:rFonts w:ascii="仿宋_GB2312" w:cs="仿宋_GB2312"/>
                <w:b/>
                <w:color w:val="000000" w:themeColor="text1"/>
                <w:kern w:val="0"/>
                <w:sz w:val="24"/>
                <w:szCs w:val="24"/>
              </w:rPr>
              <w:t>综测加分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1926" w:type="dxa"/>
            <w:vMerge w:val="continue"/>
            <w:tcBorders>
              <w:top w:val="single" w:color="000000" w:sz="8" w:space="0"/>
              <w:left w:val="single" w:color="000000" w:sz="8" w:space="0"/>
              <w:bottom w:val="single" w:color="000000" w:sz="8" w:space="0"/>
              <w:right w:val="single" w:color="000000" w:sz="8" w:space="0"/>
            </w:tcBorders>
            <w:tcMar>
              <w:left w:w="108" w:type="dxa"/>
              <w:right w:w="108" w:type="dxa"/>
            </w:tcMar>
            <w:vAlign w:val="center"/>
          </w:tcPr>
          <w:p>
            <w:pPr>
              <w:rPr>
                <w:rFonts w:ascii="宋体"/>
                <w:color w:val="000000" w:themeColor="text1"/>
                <w:sz w:val="24"/>
                <w:szCs w:val="24"/>
              </w:rPr>
            </w:pPr>
          </w:p>
        </w:tc>
        <w:tc>
          <w:tcPr>
            <w:tcW w:w="1406" w:type="dxa"/>
            <w:gridSpan w:val="2"/>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rFonts w:ascii="仿宋_GB2312" w:cs="仿宋_GB2312"/>
                <w:b/>
                <w:color w:val="000000" w:themeColor="text1"/>
                <w:kern w:val="0"/>
                <w:sz w:val="24"/>
                <w:szCs w:val="24"/>
              </w:rPr>
              <w:t>国</w:t>
            </w:r>
            <w:r>
              <w:rPr>
                <w:rFonts w:hint="eastAsia" w:ascii="仿宋_GB2312" w:cs="仿宋_GB2312"/>
                <w:b/>
                <w:color w:val="000000" w:themeColor="text1"/>
                <w:kern w:val="0"/>
                <w:sz w:val="24"/>
                <w:szCs w:val="24"/>
              </w:rPr>
              <w:t>家</w:t>
            </w:r>
            <w:r>
              <w:rPr>
                <w:rFonts w:ascii="仿宋_GB2312" w:cs="仿宋_GB2312"/>
                <w:b/>
                <w:color w:val="000000" w:themeColor="text1"/>
                <w:kern w:val="0"/>
                <w:sz w:val="24"/>
                <w:szCs w:val="24"/>
              </w:rPr>
              <w:t>级竞赛</w:t>
            </w:r>
          </w:p>
        </w:tc>
        <w:tc>
          <w:tcPr>
            <w:tcW w:w="1406" w:type="dxa"/>
            <w:gridSpan w:val="2"/>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rFonts w:hint="eastAsia" w:ascii="仿宋_GB2312" w:cs="仿宋_GB2312"/>
                <w:b/>
                <w:color w:val="000000" w:themeColor="text1"/>
                <w:kern w:val="0"/>
                <w:sz w:val="24"/>
                <w:szCs w:val="24"/>
              </w:rPr>
              <w:t>省级</w:t>
            </w:r>
            <w:r>
              <w:rPr>
                <w:rFonts w:ascii="仿宋_GB2312" w:cs="仿宋_GB2312"/>
                <w:b/>
                <w:color w:val="000000" w:themeColor="text1"/>
                <w:kern w:val="0"/>
                <w:sz w:val="24"/>
                <w:szCs w:val="24"/>
              </w:rPr>
              <w:t>竞赛</w:t>
            </w:r>
          </w:p>
        </w:tc>
        <w:tc>
          <w:tcPr>
            <w:tcW w:w="3123" w:type="dxa"/>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rFonts w:hint="eastAsia" w:ascii="仿宋_GB2312" w:cs="仿宋_GB2312"/>
                <w:b/>
                <w:color w:val="000000" w:themeColor="text1"/>
                <w:kern w:val="0"/>
                <w:sz w:val="24"/>
                <w:szCs w:val="24"/>
              </w:rPr>
              <w:t>校、市、区级竞赛</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1926" w:type="dxa"/>
            <w:vMerge w:val="continue"/>
            <w:tcBorders>
              <w:top w:val="single" w:color="000000" w:sz="8" w:space="0"/>
              <w:left w:val="single" w:color="000000" w:sz="8" w:space="0"/>
              <w:bottom w:val="single" w:color="000000" w:sz="8" w:space="0"/>
              <w:right w:val="single" w:color="000000" w:sz="8" w:space="0"/>
            </w:tcBorders>
            <w:tcMar>
              <w:left w:w="108" w:type="dxa"/>
              <w:right w:w="108" w:type="dxa"/>
            </w:tcMar>
            <w:vAlign w:val="center"/>
          </w:tcPr>
          <w:p>
            <w:pPr>
              <w:rPr>
                <w:rFonts w:ascii="宋体"/>
                <w:color w:val="000000" w:themeColor="text1"/>
                <w:sz w:val="24"/>
                <w:szCs w:val="24"/>
              </w:rPr>
            </w:pPr>
          </w:p>
        </w:tc>
        <w:tc>
          <w:tcPr>
            <w:tcW w:w="703" w:type="dxa"/>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rFonts w:hint="eastAsia" w:ascii="仿宋_GB2312" w:cs="仿宋_GB2312"/>
                <w:b/>
                <w:color w:val="000000" w:themeColor="text1"/>
                <w:kern w:val="0"/>
                <w:sz w:val="24"/>
                <w:szCs w:val="24"/>
              </w:rPr>
              <w:t>导师</w:t>
            </w:r>
          </w:p>
        </w:tc>
        <w:tc>
          <w:tcPr>
            <w:tcW w:w="703" w:type="dxa"/>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rFonts w:hint="eastAsia" w:ascii="仿宋_GB2312" w:cs="仿宋_GB2312"/>
                <w:b/>
                <w:color w:val="000000" w:themeColor="text1"/>
                <w:kern w:val="0"/>
                <w:sz w:val="24"/>
                <w:szCs w:val="24"/>
              </w:rPr>
              <w:t>队伍</w:t>
            </w:r>
          </w:p>
        </w:tc>
        <w:tc>
          <w:tcPr>
            <w:tcW w:w="703" w:type="dxa"/>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rFonts w:hint="eastAsia" w:ascii="仿宋_GB2312" w:cs="仿宋_GB2312"/>
                <w:b/>
                <w:color w:val="000000" w:themeColor="text1"/>
                <w:kern w:val="0"/>
                <w:sz w:val="24"/>
                <w:szCs w:val="24"/>
              </w:rPr>
              <w:t>导师</w:t>
            </w:r>
          </w:p>
        </w:tc>
        <w:tc>
          <w:tcPr>
            <w:tcW w:w="703" w:type="dxa"/>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rFonts w:hint="eastAsia" w:ascii="仿宋_GB2312" w:cs="仿宋_GB2312"/>
                <w:b/>
                <w:color w:val="000000" w:themeColor="text1"/>
                <w:kern w:val="0"/>
                <w:sz w:val="24"/>
                <w:szCs w:val="24"/>
              </w:rPr>
              <w:t>队伍</w:t>
            </w:r>
          </w:p>
        </w:tc>
        <w:tc>
          <w:tcPr>
            <w:tcW w:w="3123" w:type="dxa"/>
            <w:vMerge w:val="restart"/>
            <w:tcBorders>
              <w:top w:val="nil"/>
              <w:left w:val="nil"/>
              <w:right w:val="single" w:color="000000" w:sz="8" w:space="0"/>
            </w:tcBorders>
            <w:tcMar>
              <w:left w:w="108" w:type="dxa"/>
              <w:right w:w="108" w:type="dxa"/>
            </w:tcMar>
            <w:vAlign w:val="center"/>
          </w:tcPr>
          <w:p>
            <w:pPr>
              <w:spacing w:line="270" w:lineRule="atLeast"/>
              <w:jc w:val="center"/>
              <w:rPr>
                <w:color w:val="000000" w:themeColor="text1"/>
                <w:sz w:val="24"/>
              </w:rPr>
            </w:pPr>
            <w:r>
              <w:rPr>
                <w:color w:val="000000" w:themeColor="text1"/>
                <w:sz w:val="24"/>
              </w:rPr>
              <w:t>按我院综合测评文件标准</w:t>
            </w:r>
            <w:r>
              <w:rPr>
                <w:rFonts w:hint="eastAsia"/>
                <w:color w:val="000000" w:themeColor="text1"/>
                <w:sz w:val="24"/>
              </w:rPr>
              <w:t>给予</w:t>
            </w:r>
            <w:r>
              <w:rPr>
                <w:color w:val="000000" w:themeColor="text1"/>
                <w:sz w:val="24"/>
              </w:rPr>
              <w:t>相应加分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1926" w:type="dxa"/>
            <w:tcBorders>
              <w:top w:val="nil"/>
              <w:left w:val="single" w:color="000000" w:sz="8" w:space="0"/>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rFonts w:ascii="仿宋_GB2312" w:cs="仿宋_GB2312"/>
                <w:color w:val="000000" w:themeColor="text1"/>
                <w:kern w:val="0"/>
                <w:sz w:val="24"/>
                <w:szCs w:val="24"/>
              </w:rPr>
              <w:t>一等奖</w:t>
            </w:r>
          </w:p>
        </w:tc>
        <w:tc>
          <w:tcPr>
            <w:tcW w:w="703" w:type="dxa"/>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rFonts w:hint="eastAsia"/>
                <w:color w:val="000000" w:themeColor="text1"/>
                <w:kern w:val="0"/>
                <w:sz w:val="24"/>
                <w:szCs w:val="24"/>
              </w:rPr>
              <w:t>3000</w:t>
            </w:r>
          </w:p>
        </w:tc>
        <w:tc>
          <w:tcPr>
            <w:tcW w:w="703" w:type="dxa"/>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rFonts w:hint="eastAsia"/>
                <w:color w:val="000000" w:themeColor="text1"/>
                <w:kern w:val="0"/>
                <w:sz w:val="24"/>
                <w:szCs w:val="24"/>
              </w:rPr>
              <w:t>3000</w:t>
            </w:r>
          </w:p>
        </w:tc>
        <w:tc>
          <w:tcPr>
            <w:tcW w:w="703" w:type="dxa"/>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color w:val="000000" w:themeColor="text1"/>
                <w:kern w:val="0"/>
                <w:sz w:val="24"/>
                <w:szCs w:val="24"/>
              </w:rPr>
              <w:t>2000</w:t>
            </w:r>
          </w:p>
        </w:tc>
        <w:tc>
          <w:tcPr>
            <w:tcW w:w="703" w:type="dxa"/>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rFonts w:hint="eastAsia"/>
                <w:color w:val="000000" w:themeColor="text1"/>
                <w:kern w:val="0"/>
                <w:sz w:val="24"/>
                <w:szCs w:val="24"/>
              </w:rPr>
              <w:t>2000</w:t>
            </w:r>
          </w:p>
        </w:tc>
        <w:tc>
          <w:tcPr>
            <w:tcW w:w="3123" w:type="dxa"/>
            <w:vMerge w:val="continue"/>
            <w:tcBorders>
              <w:left w:val="nil"/>
              <w:right w:val="single" w:color="000000" w:sz="8" w:space="0"/>
            </w:tcBorders>
            <w:tcMar>
              <w:left w:w="108" w:type="dxa"/>
              <w:right w:w="108" w:type="dxa"/>
            </w:tcMar>
            <w:vAlign w:val="center"/>
          </w:tcPr>
          <w:p>
            <w:pPr>
              <w:spacing w:line="270" w:lineRule="atLeast"/>
              <w:jc w:val="center"/>
              <w:rPr>
                <w:color w:val="000000" w:themeColor="text1"/>
                <w:kern w:val="0"/>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1926" w:type="dxa"/>
            <w:tcBorders>
              <w:top w:val="nil"/>
              <w:left w:val="single" w:color="000000" w:sz="8" w:space="0"/>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rFonts w:ascii="仿宋_GB2312" w:cs="仿宋_GB2312"/>
                <w:color w:val="000000" w:themeColor="text1"/>
                <w:kern w:val="0"/>
                <w:sz w:val="24"/>
                <w:szCs w:val="24"/>
              </w:rPr>
              <w:t>二等奖</w:t>
            </w:r>
          </w:p>
        </w:tc>
        <w:tc>
          <w:tcPr>
            <w:tcW w:w="703" w:type="dxa"/>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rFonts w:hint="eastAsia"/>
                <w:color w:val="000000" w:themeColor="text1"/>
                <w:kern w:val="0"/>
                <w:sz w:val="24"/>
                <w:szCs w:val="24"/>
              </w:rPr>
              <w:t>2</w:t>
            </w:r>
            <w:r>
              <w:rPr>
                <w:color w:val="000000" w:themeColor="text1"/>
                <w:kern w:val="0"/>
                <w:sz w:val="24"/>
                <w:szCs w:val="24"/>
              </w:rPr>
              <w:t>6</w:t>
            </w:r>
            <w:r>
              <w:rPr>
                <w:rFonts w:hint="eastAsia"/>
                <w:color w:val="000000" w:themeColor="text1"/>
                <w:kern w:val="0"/>
                <w:sz w:val="24"/>
                <w:szCs w:val="24"/>
              </w:rPr>
              <w:t>00</w:t>
            </w:r>
          </w:p>
        </w:tc>
        <w:tc>
          <w:tcPr>
            <w:tcW w:w="703" w:type="dxa"/>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rFonts w:hint="eastAsia"/>
                <w:color w:val="000000" w:themeColor="text1"/>
                <w:kern w:val="0"/>
                <w:sz w:val="24"/>
                <w:szCs w:val="24"/>
              </w:rPr>
              <w:t>2</w:t>
            </w:r>
            <w:r>
              <w:rPr>
                <w:color w:val="000000" w:themeColor="text1"/>
                <w:kern w:val="0"/>
                <w:sz w:val="24"/>
                <w:szCs w:val="24"/>
              </w:rPr>
              <w:t>6</w:t>
            </w:r>
            <w:r>
              <w:rPr>
                <w:rFonts w:hint="eastAsia"/>
                <w:color w:val="000000" w:themeColor="text1"/>
                <w:kern w:val="0"/>
                <w:sz w:val="24"/>
                <w:szCs w:val="24"/>
              </w:rPr>
              <w:t>00</w:t>
            </w:r>
          </w:p>
        </w:tc>
        <w:tc>
          <w:tcPr>
            <w:tcW w:w="703" w:type="dxa"/>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color w:val="000000" w:themeColor="text1"/>
                <w:kern w:val="0"/>
                <w:sz w:val="24"/>
                <w:szCs w:val="24"/>
              </w:rPr>
              <w:t>1600</w:t>
            </w:r>
          </w:p>
        </w:tc>
        <w:tc>
          <w:tcPr>
            <w:tcW w:w="703" w:type="dxa"/>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color w:val="000000" w:themeColor="text1"/>
                <w:kern w:val="0"/>
                <w:sz w:val="24"/>
                <w:szCs w:val="24"/>
              </w:rPr>
              <w:t>1600</w:t>
            </w:r>
          </w:p>
        </w:tc>
        <w:tc>
          <w:tcPr>
            <w:tcW w:w="3123" w:type="dxa"/>
            <w:vMerge w:val="continue"/>
            <w:tcBorders>
              <w:left w:val="nil"/>
              <w:right w:val="single" w:color="000000" w:sz="8" w:space="0"/>
            </w:tcBorders>
            <w:tcMar>
              <w:left w:w="108" w:type="dxa"/>
              <w:right w:w="108" w:type="dxa"/>
            </w:tcMar>
            <w:vAlign w:val="center"/>
          </w:tcPr>
          <w:p>
            <w:pPr>
              <w:spacing w:line="270" w:lineRule="atLeast"/>
              <w:jc w:val="center"/>
              <w:rPr>
                <w:color w:val="000000" w:themeColor="text1"/>
                <w:kern w:val="0"/>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1926" w:type="dxa"/>
            <w:tcBorders>
              <w:top w:val="nil"/>
              <w:left w:val="single" w:color="000000" w:sz="8" w:space="0"/>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rFonts w:ascii="仿宋_GB2312" w:cs="仿宋_GB2312"/>
                <w:color w:val="000000" w:themeColor="text1"/>
                <w:kern w:val="0"/>
                <w:sz w:val="24"/>
                <w:szCs w:val="24"/>
              </w:rPr>
              <w:t>三等奖</w:t>
            </w:r>
          </w:p>
        </w:tc>
        <w:tc>
          <w:tcPr>
            <w:tcW w:w="703" w:type="dxa"/>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rFonts w:hint="eastAsia"/>
                <w:color w:val="000000" w:themeColor="text1"/>
                <w:kern w:val="0"/>
                <w:sz w:val="24"/>
                <w:szCs w:val="24"/>
              </w:rPr>
              <w:t>2</w:t>
            </w:r>
            <w:r>
              <w:rPr>
                <w:color w:val="000000" w:themeColor="text1"/>
                <w:kern w:val="0"/>
                <w:sz w:val="24"/>
                <w:szCs w:val="24"/>
              </w:rPr>
              <w:t>2</w:t>
            </w:r>
            <w:r>
              <w:rPr>
                <w:rFonts w:hint="eastAsia"/>
                <w:color w:val="000000" w:themeColor="text1"/>
                <w:kern w:val="0"/>
                <w:sz w:val="24"/>
                <w:szCs w:val="24"/>
              </w:rPr>
              <w:t>00</w:t>
            </w:r>
          </w:p>
        </w:tc>
        <w:tc>
          <w:tcPr>
            <w:tcW w:w="703" w:type="dxa"/>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rFonts w:hint="eastAsia"/>
                <w:color w:val="000000" w:themeColor="text1"/>
                <w:kern w:val="0"/>
                <w:sz w:val="24"/>
                <w:szCs w:val="24"/>
              </w:rPr>
              <w:t>2</w:t>
            </w:r>
            <w:r>
              <w:rPr>
                <w:color w:val="000000" w:themeColor="text1"/>
                <w:kern w:val="0"/>
                <w:sz w:val="24"/>
                <w:szCs w:val="24"/>
              </w:rPr>
              <w:t>2</w:t>
            </w:r>
            <w:r>
              <w:rPr>
                <w:rFonts w:hint="eastAsia"/>
                <w:color w:val="000000" w:themeColor="text1"/>
                <w:kern w:val="0"/>
                <w:sz w:val="24"/>
                <w:szCs w:val="24"/>
              </w:rPr>
              <w:t>00</w:t>
            </w:r>
          </w:p>
        </w:tc>
        <w:tc>
          <w:tcPr>
            <w:tcW w:w="703" w:type="dxa"/>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color w:val="000000" w:themeColor="text1"/>
                <w:kern w:val="0"/>
                <w:sz w:val="24"/>
                <w:szCs w:val="24"/>
              </w:rPr>
              <w:t>1200</w:t>
            </w:r>
          </w:p>
        </w:tc>
        <w:tc>
          <w:tcPr>
            <w:tcW w:w="703" w:type="dxa"/>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color w:val="000000" w:themeColor="text1"/>
                <w:kern w:val="0"/>
                <w:sz w:val="24"/>
                <w:szCs w:val="24"/>
              </w:rPr>
              <w:t>1200</w:t>
            </w:r>
          </w:p>
        </w:tc>
        <w:tc>
          <w:tcPr>
            <w:tcW w:w="3123" w:type="dxa"/>
            <w:vMerge w:val="continue"/>
            <w:tcBorders>
              <w:left w:val="nil"/>
              <w:right w:val="single" w:color="000000" w:sz="8" w:space="0"/>
            </w:tcBorders>
            <w:tcMar>
              <w:left w:w="108" w:type="dxa"/>
              <w:right w:w="108" w:type="dxa"/>
            </w:tcMar>
            <w:vAlign w:val="center"/>
          </w:tcPr>
          <w:p>
            <w:pPr>
              <w:spacing w:line="270" w:lineRule="atLeast"/>
              <w:jc w:val="center"/>
              <w:rPr>
                <w:color w:val="000000" w:themeColor="text1"/>
                <w:kern w:val="0"/>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1926" w:type="dxa"/>
            <w:tcBorders>
              <w:top w:val="nil"/>
              <w:left w:val="single" w:color="000000" w:sz="8" w:space="0"/>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rFonts w:ascii="仿宋_GB2312" w:cs="仿宋_GB2312"/>
                <w:color w:val="000000" w:themeColor="text1"/>
                <w:kern w:val="0"/>
                <w:sz w:val="24"/>
                <w:szCs w:val="24"/>
              </w:rPr>
              <w:t>优秀奖</w:t>
            </w:r>
          </w:p>
        </w:tc>
        <w:tc>
          <w:tcPr>
            <w:tcW w:w="703" w:type="dxa"/>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rFonts w:hint="eastAsia"/>
                <w:color w:val="000000" w:themeColor="text1"/>
                <w:kern w:val="0"/>
                <w:sz w:val="24"/>
                <w:szCs w:val="24"/>
              </w:rPr>
              <w:t>2000</w:t>
            </w:r>
          </w:p>
        </w:tc>
        <w:tc>
          <w:tcPr>
            <w:tcW w:w="703" w:type="dxa"/>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rFonts w:hint="eastAsia"/>
                <w:color w:val="000000" w:themeColor="text1"/>
                <w:kern w:val="0"/>
                <w:sz w:val="24"/>
                <w:szCs w:val="24"/>
              </w:rPr>
              <w:t>2000</w:t>
            </w:r>
          </w:p>
        </w:tc>
        <w:tc>
          <w:tcPr>
            <w:tcW w:w="703" w:type="dxa"/>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rFonts w:hint="eastAsia"/>
                <w:color w:val="000000" w:themeColor="text1"/>
                <w:sz w:val="24"/>
              </w:rPr>
              <w:t>800</w:t>
            </w:r>
          </w:p>
        </w:tc>
        <w:tc>
          <w:tcPr>
            <w:tcW w:w="703" w:type="dxa"/>
            <w:tcBorders>
              <w:top w:val="nil"/>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r>
              <w:rPr>
                <w:color w:val="000000" w:themeColor="text1"/>
                <w:sz w:val="24"/>
              </w:rPr>
              <w:t>800</w:t>
            </w:r>
          </w:p>
        </w:tc>
        <w:tc>
          <w:tcPr>
            <w:tcW w:w="3123" w:type="dxa"/>
            <w:vMerge w:val="continue"/>
            <w:tcBorders>
              <w:left w:val="nil"/>
              <w:bottom w:val="single" w:color="000000" w:sz="8" w:space="0"/>
              <w:right w:val="single" w:color="000000" w:sz="8" w:space="0"/>
            </w:tcBorders>
            <w:tcMar>
              <w:left w:w="108" w:type="dxa"/>
              <w:right w:w="108" w:type="dxa"/>
            </w:tcMar>
            <w:vAlign w:val="center"/>
          </w:tcPr>
          <w:p>
            <w:pPr>
              <w:widowControl/>
              <w:spacing w:line="270" w:lineRule="atLeast"/>
              <w:jc w:val="center"/>
              <w:rPr>
                <w:color w:val="000000" w:themeColor="text1"/>
                <w:sz w:val="24"/>
              </w:rPr>
            </w:pPr>
          </w:p>
        </w:tc>
      </w:tr>
    </w:tbl>
    <w:p>
      <w:pPr>
        <w:spacing w:line="360" w:lineRule="auto"/>
        <w:ind w:firstLine="480" w:firstLineChars="200"/>
        <w:rPr>
          <w:rFonts w:ascii="仿宋_GB2312" w:eastAsia="仿宋_GB2312" w:hAnsiTheme="minorEastAsia"/>
          <w:color w:val="000000" w:themeColor="text1"/>
          <w:sz w:val="24"/>
          <w:szCs w:val="24"/>
        </w:rPr>
      </w:pPr>
      <w:r>
        <w:rPr>
          <w:rFonts w:hint="eastAsia" w:ascii="仿宋_GB2312" w:eastAsia="仿宋_GB2312" w:hAnsiTheme="minorEastAsia"/>
          <w:color w:val="000000" w:themeColor="text1"/>
          <w:sz w:val="24"/>
          <w:szCs w:val="24"/>
        </w:rPr>
        <w:t>1.申请人员须参与创新创业类竞赛，并获得了校级和以上级别的奖项。</w:t>
      </w:r>
    </w:p>
    <w:p>
      <w:pPr>
        <w:spacing w:line="360" w:lineRule="auto"/>
        <w:ind w:firstLine="480" w:firstLineChars="200"/>
        <w:rPr>
          <w:rFonts w:ascii="仿宋_GB2312" w:eastAsia="仿宋_GB2312" w:hAnsiTheme="minorEastAsia"/>
          <w:color w:val="000000" w:themeColor="text1"/>
          <w:sz w:val="24"/>
          <w:szCs w:val="24"/>
        </w:rPr>
      </w:pPr>
      <w:r>
        <w:rPr>
          <w:rFonts w:hint="eastAsia" w:ascii="仿宋_GB2312" w:eastAsia="仿宋_GB2312" w:hAnsiTheme="minorEastAsia"/>
          <w:color w:val="000000" w:themeColor="text1"/>
          <w:sz w:val="24"/>
          <w:szCs w:val="24"/>
        </w:rPr>
        <w:t>2.学科竞赛不列入此评奖范围。学院将根据实际情况考虑拟定学科竞赛类奖励办法。</w:t>
      </w:r>
    </w:p>
    <w:p>
      <w:pPr>
        <w:spacing w:line="360" w:lineRule="auto"/>
        <w:ind w:firstLine="480" w:firstLineChars="200"/>
        <w:rPr>
          <w:rFonts w:ascii="仿宋_GB2312" w:eastAsia="仿宋_GB2312" w:hAnsiTheme="minorEastAsia"/>
          <w:color w:val="000000" w:themeColor="text1"/>
          <w:sz w:val="24"/>
          <w:szCs w:val="24"/>
        </w:rPr>
      </w:pPr>
      <w:r>
        <w:rPr>
          <w:rFonts w:hint="eastAsia" w:ascii="仿宋_GB2312" w:eastAsia="仿宋_GB2312" w:hAnsiTheme="minorEastAsia"/>
          <w:color w:val="000000" w:themeColor="text1"/>
          <w:sz w:val="24"/>
          <w:szCs w:val="24"/>
        </w:rPr>
        <w:t>3.本办法仅适用于2019年1月及之后获奖的情况，且评奖资格仅限当年。</w:t>
      </w:r>
    </w:p>
    <w:p>
      <w:pPr>
        <w:spacing w:line="360" w:lineRule="auto"/>
        <w:ind w:firstLine="480" w:firstLineChars="200"/>
        <w:rPr>
          <w:rFonts w:ascii="仿宋_GB2312" w:eastAsia="仿宋_GB2312" w:hAnsiTheme="minorEastAsia"/>
          <w:color w:val="000000" w:themeColor="text1"/>
          <w:sz w:val="24"/>
          <w:szCs w:val="24"/>
        </w:rPr>
      </w:pPr>
      <w:r>
        <w:rPr>
          <w:rFonts w:hint="eastAsia" w:ascii="仿宋_GB2312" w:eastAsia="仿宋_GB2312" w:hAnsiTheme="minorEastAsia"/>
          <w:color w:val="000000" w:themeColor="text1"/>
          <w:sz w:val="24"/>
          <w:szCs w:val="24"/>
        </w:rPr>
        <w:t>4.申请奖励的参赛队伍必须由人文与法学学院在读本科生担任负责人（主持人或队长），否则不具备申请资格。奖金仅面向本院师生发放。</w:t>
      </w:r>
    </w:p>
    <w:p>
      <w:pPr>
        <w:spacing w:line="360" w:lineRule="auto"/>
        <w:ind w:firstLine="480" w:firstLineChars="200"/>
        <w:rPr>
          <w:rFonts w:ascii="仿宋_GB2312" w:eastAsia="仿宋_GB2312" w:hAnsiTheme="minorEastAsia"/>
          <w:color w:val="000000" w:themeColor="text1"/>
          <w:sz w:val="24"/>
          <w:szCs w:val="24"/>
        </w:rPr>
      </w:pPr>
      <w:r>
        <w:rPr>
          <w:rFonts w:hint="eastAsia" w:ascii="仿宋_GB2312" w:eastAsia="仿宋_GB2312" w:hAnsiTheme="minorEastAsia"/>
          <w:color w:val="000000" w:themeColor="text1"/>
          <w:sz w:val="24"/>
          <w:szCs w:val="24"/>
        </w:rPr>
        <w:t>5.设特等奖的竞赛奖励标准为：特等奖按一等奖标准执行，依此类推，依次退一级执行；设金、银、铜奖的分别按一、二、三等奖标准执行；仅设名次的各类竞赛奖励标准：第1名按一等奖标准执行，2至3名按二等奖标准执行，4至6名按三等奖标准执行。</w:t>
      </w:r>
    </w:p>
    <w:p>
      <w:pPr>
        <w:spacing w:line="360" w:lineRule="auto"/>
        <w:ind w:firstLine="480" w:firstLineChars="200"/>
        <w:rPr>
          <w:rFonts w:ascii="仿宋_GB2312" w:eastAsia="仿宋_GB2312" w:hAnsiTheme="minorEastAsia"/>
          <w:color w:val="000000" w:themeColor="text1"/>
          <w:sz w:val="24"/>
          <w:szCs w:val="24"/>
        </w:rPr>
      </w:pPr>
      <w:r>
        <w:rPr>
          <w:rFonts w:hint="eastAsia" w:ascii="仿宋_GB2312" w:eastAsia="仿宋_GB2312" w:hAnsiTheme="minorEastAsia"/>
          <w:color w:val="000000" w:themeColor="text1"/>
          <w:sz w:val="24"/>
          <w:szCs w:val="24"/>
        </w:rPr>
        <w:t>6.先后参加了同一比赛的不同级别，以获得的最高级别奖项为准进行奖励。</w:t>
      </w:r>
    </w:p>
    <w:p>
      <w:pPr>
        <w:spacing w:line="360" w:lineRule="auto"/>
        <w:ind w:firstLine="480" w:firstLineChars="200"/>
        <w:rPr>
          <w:rFonts w:ascii="仿宋_GB2312" w:eastAsia="仿宋_GB2312" w:hAnsiTheme="minorEastAsia"/>
          <w:color w:val="000000" w:themeColor="text1"/>
          <w:sz w:val="24"/>
          <w:szCs w:val="24"/>
        </w:rPr>
      </w:pPr>
      <w:r>
        <w:rPr>
          <w:rFonts w:hint="eastAsia" w:ascii="仿宋_GB2312" w:eastAsia="仿宋_GB2312" w:hAnsiTheme="minorEastAsia"/>
          <w:color w:val="000000" w:themeColor="text1"/>
          <w:sz w:val="24"/>
          <w:szCs w:val="24"/>
        </w:rPr>
        <w:t>（七）学院每年举办关于创新创业的考察交流活动，根据各个专业的不同选择相应的考察目的地并与考察对象单位建立长期的交流合作关系。</w:t>
      </w:r>
    </w:p>
    <w:p>
      <w:pPr>
        <w:spacing w:line="360" w:lineRule="auto"/>
        <w:ind w:firstLine="482" w:firstLineChars="200"/>
        <w:rPr>
          <w:rFonts w:ascii="仿宋_GB2312" w:eastAsia="仿宋_GB2312" w:hAnsiTheme="minorEastAsia"/>
          <w:b/>
          <w:color w:val="000000" w:themeColor="text1"/>
          <w:sz w:val="24"/>
          <w:szCs w:val="24"/>
        </w:rPr>
      </w:pPr>
      <w:r>
        <w:rPr>
          <w:rFonts w:hint="eastAsia" w:ascii="仿宋_GB2312" w:eastAsia="仿宋_GB2312" w:hAnsiTheme="minorEastAsia"/>
          <w:b/>
          <w:color w:val="000000" w:themeColor="text1"/>
          <w:sz w:val="24"/>
          <w:szCs w:val="24"/>
        </w:rPr>
        <w:t>四、构建创新创业展示平台</w:t>
      </w:r>
    </w:p>
    <w:p>
      <w:pPr>
        <w:spacing w:line="360" w:lineRule="auto"/>
        <w:rPr>
          <w:rFonts w:ascii="仿宋_GB2312" w:eastAsia="仿宋_GB2312" w:hAnsiTheme="minorEastAsia"/>
          <w:color w:val="000000" w:themeColor="text1"/>
          <w:sz w:val="24"/>
          <w:szCs w:val="24"/>
        </w:rPr>
      </w:pPr>
      <w:r>
        <w:rPr>
          <w:rFonts w:hint="eastAsia" w:ascii="仿宋_GB2312" w:eastAsia="仿宋_GB2312" w:hAnsiTheme="minorEastAsia"/>
          <w:color w:val="000000" w:themeColor="text1"/>
          <w:sz w:val="24"/>
          <w:szCs w:val="24"/>
        </w:rPr>
        <w:t xml:space="preserve">    （一）每年在人文学院就指中心供需见面会当天，开设创新创业集市。其中创新创业集市包括体验区、展示区等。学生可提前通过摊位申请等方式得到摊位进行与学院专业相关的展示，而且学生还可以在展示区展示自己的创业成品。</w:t>
      </w:r>
    </w:p>
    <w:p>
      <w:pPr>
        <w:spacing w:line="360" w:lineRule="auto"/>
        <w:ind w:firstLine="480" w:firstLineChars="200"/>
        <w:rPr>
          <w:rFonts w:ascii="仿宋_GB2312" w:eastAsia="仿宋_GB2312" w:hAnsiTheme="minorEastAsia"/>
          <w:color w:val="000000" w:themeColor="text1"/>
          <w:sz w:val="24"/>
          <w:szCs w:val="24"/>
        </w:rPr>
      </w:pPr>
      <w:r>
        <w:rPr>
          <w:rFonts w:hint="eastAsia" w:ascii="仿宋_GB2312" w:eastAsia="仿宋_GB2312" w:hAnsiTheme="minorEastAsia"/>
          <w:color w:val="000000" w:themeColor="text1"/>
          <w:sz w:val="24"/>
          <w:szCs w:val="24"/>
        </w:rPr>
        <w:t>（二）在学院就业网站及微信QQ群，公众号上面开辟学子创新创业展示栏目。按学子创新创业项目归类展示，同时附上项目组的简介；</w:t>
      </w:r>
    </w:p>
    <w:p>
      <w:pPr>
        <w:spacing w:line="360" w:lineRule="auto"/>
        <w:ind w:firstLine="480" w:firstLineChars="200"/>
        <w:rPr>
          <w:rFonts w:ascii="仿宋_GB2312" w:eastAsia="仿宋_GB2312" w:hAnsiTheme="minorEastAsia"/>
          <w:color w:val="000000" w:themeColor="text1"/>
          <w:sz w:val="24"/>
          <w:szCs w:val="24"/>
        </w:rPr>
      </w:pPr>
      <w:r>
        <w:rPr>
          <w:rFonts w:hint="eastAsia" w:ascii="仿宋_GB2312" w:eastAsia="仿宋_GB2312" w:hAnsiTheme="minorEastAsia"/>
          <w:color w:val="000000" w:themeColor="text1"/>
          <w:sz w:val="24"/>
          <w:szCs w:val="24"/>
        </w:rPr>
        <w:t>（三）学院安排工作人员跟进每一个创新创业团队(以及参加创新创业项目的在校生)，并将跟进得到的信息准时发布在公众号、微信群等交流群；同时学院以固定时间、频率将创业相关活动的信息推送公众号；</w:t>
      </w:r>
    </w:p>
    <w:p>
      <w:pPr>
        <w:spacing w:line="360" w:lineRule="auto"/>
        <w:ind w:firstLine="480" w:firstLineChars="200"/>
        <w:rPr>
          <w:rFonts w:ascii="仿宋_GB2312" w:eastAsia="仿宋_GB2312" w:hAnsiTheme="minorEastAsia"/>
          <w:color w:val="000000" w:themeColor="text1"/>
          <w:sz w:val="24"/>
          <w:szCs w:val="24"/>
        </w:rPr>
      </w:pPr>
      <w:r>
        <w:rPr>
          <w:rFonts w:hint="eastAsia" w:ascii="仿宋_GB2312" w:eastAsia="仿宋_GB2312" w:hAnsiTheme="minorEastAsia"/>
          <w:color w:val="000000" w:themeColor="text1"/>
          <w:sz w:val="24"/>
          <w:szCs w:val="24"/>
        </w:rPr>
        <w:t>（四）通过与毕业生就业团队，以及在校参与创新创业项目的学生交流，积极总结大学生们关于创业的问题、想法以及各种国家相关政策，并在学院就业网址中推出新板块“创业百科”，以上传信息以供交流，同时会将更新的成果发送在公众号，微信群等各种交流平台，使学生们对创业有着更加全面的认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29D"/>
    <w:rsid w:val="0000344B"/>
    <w:rsid w:val="00014039"/>
    <w:rsid w:val="00057716"/>
    <w:rsid w:val="00074998"/>
    <w:rsid w:val="000C456B"/>
    <w:rsid w:val="000C5C59"/>
    <w:rsid w:val="000D3370"/>
    <w:rsid w:val="000F12FB"/>
    <w:rsid w:val="00131667"/>
    <w:rsid w:val="001E28D9"/>
    <w:rsid w:val="001E33B4"/>
    <w:rsid w:val="001E4931"/>
    <w:rsid w:val="001F6116"/>
    <w:rsid w:val="00222360"/>
    <w:rsid w:val="002235B9"/>
    <w:rsid w:val="00232D84"/>
    <w:rsid w:val="0024358C"/>
    <w:rsid w:val="0027161E"/>
    <w:rsid w:val="002A0937"/>
    <w:rsid w:val="002A0E9A"/>
    <w:rsid w:val="002C5AE5"/>
    <w:rsid w:val="002F7DC7"/>
    <w:rsid w:val="00323C58"/>
    <w:rsid w:val="0035784F"/>
    <w:rsid w:val="0036180D"/>
    <w:rsid w:val="003A253B"/>
    <w:rsid w:val="003B69AB"/>
    <w:rsid w:val="00404D1B"/>
    <w:rsid w:val="00415A6F"/>
    <w:rsid w:val="004277DE"/>
    <w:rsid w:val="004921BE"/>
    <w:rsid w:val="004927AC"/>
    <w:rsid w:val="004A7EAE"/>
    <w:rsid w:val="004B404A"/>
    <w:rsid w:val="004D1C17"/>
    <w:rsid w:val="0051363B"/>
    <w:rsid w:val="005355F6"/>
    <w:rsid w:val="00566691"/>
    <w:rsid w:val="00567CCD"/>
    <w:rsid w:val="005919CA"/>
    <w:rsid w:val="00685F3B"/>
    <w:rsid w:val="00691F55"/>
    <w:rsid w:val="006B555C"/>
    <w:rsid w:val="006C3C57"/>
    <w:rsid w:val="006E0894"/>
    <w:rsid w:val="007521FE"/>
    <w:rsid w:val="007B0BD7"/>
    <w:rsid w:val="007C1B81"/>
    <w:rsid w:val="00807547"/>
    <w:rsid w:val="00822649"/>
    <w:rsid w:val="00847206"/>
    <w:rsid w:val="008B102F"/>
    <w:rsid w:val="008B512D"/>
    <w:rsid w:val="008B74A3"/>
    <w:rsid w:val="008D66C4"/>
    <w:rsid w:val="008F4EB7"/>
    <w:rsid w:val="00905537"/>
    <w:rsid w:val="009149ED"/>
    <w:rsid w:val="009A1E36"/>
    <w:rsid w:val="009B4A9C"/>
    <w:rsid w:val="00A56769"/>
    <w:rsid w:val="00AD2B6E"/>
    <w:rsid w:val="00AF037E"/>
    <w:rsid w:val="00B45147"/>
    <w:rsid w:val="00B50321"/>
    <w:rsid w:val="00BA6021"/>
    <w:rsid w:val="00BB1EB2"/>
    <w:rsid w:val="00BB435C"/>
    <w:rsid w:val="00BC21FF"/>
    <w:rsid w:val="00BC2C85"/>
    <w:rsid w:val="00BD128F"/>
    <w:rsid w:val="00BE73DF"/>
    <w:rsid w:val="00C159E0"/>
    <w:rsid w:val="00C219B8"/>
    <w:rsid w:val="00C52041"/>
    <w:rsid w:val="00C60FE7"/>
    <w:rsid w:val="00C66582"/>
    <w:rsid w:val="00CA0A8F"/>
    <w:rsid w:val="00CA3486"/>
    <w:rsid w:val="00CE213C"/>
    <w:rsid w:val="00CE5D28"/>
    <w:rsid w:val="00CF5E2E"/>
    <w:rsid w:val="00D2329D"/>
    <w:rsid w:val="00D25C7C"/>
    <w:rsid w:val="00D3731B"/>
    <w:rsid w:val="00D63CDC"/>
    <w:rsid w:val="00DA267A"/>
    <w:rsid w:val="00E0780E"/>
    <w:rsid w:val="00E11AD4"/>
    <w:rsid w:val="00E11D49"/>
    <w:rsid w:val="00E54375"/>
    <w:rsid w:val="00E65B8F"/>
    <w:rsid w:val="00E760C7"/>
    <w:rsid w:val="00EB6729"/>
    <w:rsid w:val="00EF1140"/>
    <w:rsid w:val="00F3121F"/>
    <w:rsid w:val="00F507F2"/>
    <w:rsid w:val="00FA21A2"/>
    <w:rsid w:val="00FB551A"/>
    <w:rsid w:val="00FD31DA"/>
    <w:rsid w:val="00FE1D71"/>
    <w:rsid w:val="05902DCD"/>
    <w:rsid w:val="0B7E56BC"/>
    <w:rsid w:val="0FA04244"/>
    <w:rsid w:val="13845A90"/>
    <w:rsid w:val="177C4FB2"/>
    <w:rsid w:val="1B4D5733"/>
    <w:rsid w:val="1FB643AB"/>
    <w:rsid w:val="226A6346"/>
    <w:rsid w:val="22B8345F"/>
    <w:rsid w:val="276F3BD6"/>
    <w:rsid w:val="2E0415EA"/>
    <w:rsid w:val="3ADD568E"/>
    <w:rsid w:val="3BAD6EED"/>
    <w:rsid w:val="3F151CD5"/>
    <w:rsid w:val="46666BFE"/>
    <w:rsid w:val="47BD57CA"/>
    <w:rsid w:val="47E272D1"/>
    <w:rsid w:val="4A520996"/>
    <w:rsid w:val="4A816922"/>
    <w:rsid w:val="4D7A0001"/>
    <w:rsid w:val="50DF2396"/>
    <w:rsid w:val="60A83B5E"/>
    <w:rsid w:val="61EC5F81"/>
    <w:rsid w:val="62092040"/>
    <w:rsid w:val="63A80EA3"/>
    <w:rsid w:val="6766535D"/>
    <w:rsid w:val="67FF6C4C"/>
    <w:rsid w:val="68C131EE"/>
    <w:rsid w:val="6A1865B3"/>
    <w:rsid w:val="6B1C253E"/>
    <w:rsid w:val="79F84ED7"/>
    <w:rsid w:val="7C4B7D75"/>
    <w:rsid w:val="7D8D131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name="Hyperlink"/>
    <w:lsdException w:qFormat="1"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unhideWhenUsed/>
    <w:qFormat/>
    <w:uiPriority w:val="99"/>
    <w:pPr>
      <w:tabs>
        <w:tab w:val="center" w:pos="4153"/>
        <w:tab w:val="right" w:pos="8306"/>
      </w:tabs>
      <w:snapToGrid w:val="0"/>
      <w:jc w:val="left"/>
    </w:pPr>
    <w:rPr>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13"/>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5">
    <w:name w:val="Normal (Web)"/>
    <w:basedOn w:val="1"/>
    <w:semiHidden/>
    <w:unhideWhenUsed/>
    <w:qFormat/>
    <w:uiPriority w:val="0"/>
    <w:pPr>
      <w:jc w:val="left"/>
    </w:pPr>
    <w:rPr>
      <w:kern w:val="0"/>
      <w:sz w:val="24"/>
    </w:rPr>
  </w:style>
  <w:style w:type="character" w:styleId="8">
    <w:name w:val="Strong"/>
    <w:basedOn w:val="7"/>
    <w:qFormat/>
    <w:locked/>
    <w:uiPriority w:val="0"/>
    <w:rPr>
      <w:b/>
    </w:rPr>
  </w:style>
  <w:style w:type="character" w:styleId="9">
    <w:name w:val="FollowedHyperlink"/>
    <w:basedOn w:val="7"/>
    <w:semiHidden/>
    <w:unhideWhenUsed/>
    <w:qFormat/>
    <w:uiPriority w:val="0"/>
    <w:rPr>
      <w:color w:val="232323"/>
      <w:u w:val="none"/>
    </w:rPr>
  </w:style>
  <w:style w:type="character" w:styleId="10">
    <w:name w:val="Hyperlink"/>
    <w:basedOn w:val="7"/>
    <w:semiHidden/>
    <w:unhideWhenUsed/>
    <w:qFormat/>
    <w:uiPriority w:val="0"/>
    <w:rPr>
      <w:color w:val="232323"/>
      <w:u w:val="none"/>
    </w:rPr>
  </w:style>
  <w:style w:type="character" w:customStyle="1" w:styleId="11">
    <w:name w:val="页眉 Char"/>
    <w:basedOn w:val="7"/>
    <w:link w:val="3"/>
    <w:semiHidden/>
    <w:qFormat/>
    <w:uiPriority w:val="99"/>
    <w:rPr>
      <w:sz w:val="18"/>
      <w:szCs w:val="18"/>
    </w:rPr>
  </w:style>
  <w:style w:type="character" w:customStyle="1" w:styleId="12">
    <w:name w:val="页脚 Char"/>
    <w:basedOn w:val="7"/>
    <w:link w:val="2"/>
    <w:semiHidden/>
    <w:qFormat/>
    <w:uiPriority w:val="99"/>
    <w:rPr>
      <w:sz w:val="18"/>
      <w:szCs w:val="18"/>
    </w:rPr>
  </w:style>
  <w:style w:type="character" w:customStyle="1" w:styleId="13">
    <w:name w:val="HTML 预设格式 Char"/>
    <w:basedOn w:val="7"/>
    <w:link w:val="4"/>
    <w:semiHidden/>
    <w:qFormat/>
    <w:uiPriority w:val="99"/>
    <w:rPr>
      <w:rFonts w:ascii="宋体" w:hAnsi="宋体" w:cs="宋体"/>
      <w:sz w:val="24"/>
      <w:szCs w:val="24"/>
    </w:rPr>
  </w:style>
  <w:style w:type="character" w:customStyle="1" w:styleId="14">
    <w:name w:val="item-name"/>
    <w:basedOn w:val="7"/>
    <w:qFormat/>
    <w:uiPriority w:val="0"/>
  </w:style>
  <w:style w:type="character" w:customStyle="1" w:styleId="15">
    <w:name w:val="item-name1"/>
    <w:basedOn w:val="7"/>
    <w:qFormat/>
    <w:uiPriority w:val="0"/>
  </w:style>
  <w:style w:type="character" w:customStyle="1" w:styleId="16">
    <w:name w:val="item-name2"/>
    <w:basedOn w:val="7"/>
    <w:qFormat/>
    <w:uiPriority w:val="0"/>
  </w:style>
  <w:style w:type="character" w:customStyle="1" w:styleId="17">
    <w:name w:val="item-name3"/>
    <w:basedOn w:val="7"/>
    <w:qFormat/>
    <w:uiPriority w:val="0"/>
  </w:style>
  <w:style w:type="character" w:customStyle="1" w:styleId="18">
    <w:name w:val="bsharetext"/>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3A43BD-9992-4F71-88E7-C64B89623719}">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429</Words>
  <Characters>2449</Characters>
  <Lines>20</Lines>
  <Paragraphs>5</Paragraphs>
  <TotalTime>1</TotalTime>
  <ScaleCrop>false</ScaleCrop>
  <LinksUpToDate>false</LinksUpToDate>
  <CharactersWithSpaces>2873</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2020-03-23T01:53:00Z</dcterms:created>
  <dc:creator>微软用户</dc:creator>
  <cp:lastModifiedBy>陌上离殇y</cp:lastModifiedBy>
  <cp:lastPrinted>2019-12-30T02:08:00Z</cp:lastPrinted>
  <dcterms:modified xsi:type="dcterms:W3CDTF">2020-03-31T04:21:39Z</dcterms:modified>
  <dc:title>林学与风景园林学院促进大学生创新创业若干实施意见</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